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5DFB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>金融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74264E2F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7C925283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4746C18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56DBBFB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关键词,但实际不从事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 金融  </w:t>
      </w:r>
      <w:r>
        <w:rPr>
          <w:rFonts w:hint="eastAsia" w:ascii="微软雅黑" w:hAnsi="微软雅黑" w:cs="仿宋_GB2312"/>
          <w:sz w:val="24"/>
          <w:szCs w:val="24"/>
        </w:rPr>
        <w:t>等需办理前置审批的经营活动，我单位将主动联系四川省金融监管部门取得《金融》前置</w:t>
      </w:r>
      <w:bookmarkStart w:id="0" w:name="_GoBack"/>
      <w:bookmarkEnd w:id="0"/>
      <w:r>
        <w:rPr>
          <w:rFonts w:hint="eastAsia" w:ascii="微软雅黑" w:hAnsi="微软雅黑" w:cs="仿宋_GB2312"/>
          <w:sz w:val="24"/>
          <w:szCs w:val="24"/>
        </w:rPr>
        <w:t>审批文件后前置审批文件后，再开展经营活动。</w:t>
      </w:r>
    </w:p>
    <w:p w14:paraId="4E47D64B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34F4CD98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2E800B99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5E901DBC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2B7DB23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0edec4e-0e91-47eb-953c-e243b4679b2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0edec4e-0e91-47eb-953c-e243b4679b26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0A4A50"/>
    <w:rsid w:val="001A0C3C"/>
    <w:rsid w:val="002B0113"/>
    <w:rsid w:val="00301C60"/>
    <w:rsid w:val="003702A1"/>
    <w:rsid w:val="00380F2A"/>
    <w:rsid w:val="00442422"/>
    <w:rsid w:val="004A2CF5"/>
    <w:rsid w:val="00592039"/>
    <w:rsid w:val="00B5339D"/>
    <w:rsid w:val="00C7277D"/>
    <w:rsid w:val="00CA0595"/>
    <w:rsid w:val="00D24553"/>
    <w:rsid w:val="00F178E6"/>
    <w:rsid w:val="67FBF242"/>
    <w:rsid w:val="6DF3C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622</Characters>
  <Lines>5</Lines>
  <Paragraphs>1</Paragraphs>
  <TotalTime>11</TotalTime>
  <ScaleCrop>false</ScaleCrop>
  <LinksUpToDate>false</LinksUpToDate>
  <CharactersWithSpaces>729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2023-10-23T15:22:00Z</dcterms:created>
  <dc:creator>ps</dc:creator>
  <cp:lastModifiedBy>even</cp:lastModifiedBy>
  <dcterms:modified xsi:type="dcterms:W3CDTF">2026-06-23T16:51:31Z</dcterms:modified>
  <cp:revision>9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4D6037AA713B8E4370483A6AFAFEFE4C_42</vt:lpwstr>
  </property>
</Properties>
</file>